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DA" w:rsidRDefault="008C2FDA" w:rsidP="008C2FDA"/>
    <w:p w:rsidR="002E3C3C" w:rsidRDefault="002E3C3C" w:rsidP="002E3C3C">
      <w:pPr>
        <w:jc w:val="both"/>
        <w:rPr>
          <w:rFonts w:ascii="Arial" w:hAnsi="Arial" w:cs="Arial"/>
          <w:sz w:val="22"/>
          <w:szCs w:val="22"/>
        </w:rPr>
      </w:pPr>
      <w:r w:rsidRPr="00144B9F">
        <w:rPr>
          <w:rFonts w:ascii="Arial" w:hAnsi="Arial" w:cs="Arial"/>
          <w:b/>
          <w:sz w:val="22"/>
          <w:szCs w:val="22"/>
        </w:rPr>
        <w:t xml:space="preserve">ALLEGATO A </w:t>
      </w:r>
      <w:r w:rsidR="009A75E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A75E8">
        <w:rPr>
          <w:rFonts w:ascii="Arial" w:hAnsi="Arial" w:cs="Arial"/>
          <w:b/>
          <w:sz w:val="22"/>
          <w:szCs w:val="22"/>
        </w:rPr>
        <w:t>Tipologia,</w:t>
      </w:r>
      <w:r w:rsidRPr="00E32D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stima dei </w:t>
      </w:r>
      <w:r w:rsidRPr="00E32DA6">
        <w:rPr>
          <w:rFonts w:ascii="Arial" w:hAnsi="Arial" w:cs="Arial"/>
          <w:b/>
          <w:sz w:val="22"/>
          <w:szCs w:val="22"/>
        </w:rPr>
        <w:t>quantitativi annui</w:t>
      </w:r>
      <w:r w:rsidR="009A75E8">
        <w:rPr>
          <w:rFonts w:ascii="Arial" w:hAnsi="Arial" w:cs="Arial"/>
          <w:b/>
          <w:sz w:val="22"/>
          <w:szCs w:val="22"/>
        </w:rPr>
        <w:t xml:space="preserve"> e sedi</w:t>
      </w:r>
      <w:r w:rsidRPr="00E32DA6">
        <w:rPr>
          <w:rFonts w:ascii="Arial" w:hAnsi="Arial" w:cs="Arial"/>
          <w:b/>
          <w:sz w:val="22"/>
          <w:szCs w:val="22"/>
        </w:rPr>
        <w:t xml:space="preserve"> dei rifiuti </w:t>
      </w:r>
      <w:r w:rsidR="001355A1">
        <w:rPr>
          <w:rFonts w:ascii="Arial" w:hAnsi="Arial" w:cs="Arial"/>
          <w:b/>
          <w:sz w:val="22"/>
          <w:szCs w:val="22"/>
        </w:rPr>
        <w:t>prodotti</w:t>
      </w:r>
    </w:p>
    <w:p w:rsidR="002E3C3C" w:rsidRDefault="002E3C3C" w:rsidP="002E3C3C">
      <w:pPr>
        <w:jc w:val="both"/>
        <w:rPr>
          <w:rFonts w:ascii="Arial" w:hAnsi="Arial" w:cs="Arial"/>
          <w:sz w:val="22"/>
          <w:szCs w:val="22"/>
        </w:rPr>
      </w:pPr>
    </w:p>
    <w:p w:rsidR="002E3C3C" w:rsidRDefault="002E3C3C" w:rsidP="002E3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B45F78">
        <w:rPr>
          <w:rFonts w:ascii="Arial" w:hAnsi="Arial" w:cs="Arial"/>
          <w:sz w:val="22"/>
          <w:szCs w:val="22"/>
        </w:rPr>
        <w:t xml:space="preserve">quantitativi </w:t>
      </w:r>
      <w:r>
        <w:rPr>
          <w:rFonts w:ascii="Arial" w:hAnsi="Arial" w:cs="Arial"/>
          <w:sz w:val="22"/>
          <w:szCs w:val="22"/>
        </w:rPr>
        <w:t xml:space="preserve">dei rifiuti speciali pericolosi </w:t>
      </w:r>
      <w:r w:rsidR="003543DE">
        <w:rPr>
          <w:rFonts w:ascii="Arial" w:hAnsi="Arial" w:cs="Arial"/>
          <w:sz w:val="22"/>
          <w:szCs w:val="22"/>
        </w:rPr>
        <w:t xml:space="preserve">di cui alla sottostante tabella </w:t>
      </w:r>
      <w:r>
        <w:rPr>
          <w:rFonts w:ascii="Arial" w:hAnsi="Arial" w:cs="Arial"/>
          <w:sz w:val="22"/>
          <w:szCs w:val="22"/>
        </w:rPr>
        <w:t>sono puramente indicativi</w:t>
      </w:r>
      <w:r w:rsidRPr="00B45F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non costituiscono</w:t>
      </w:r>
      <w:r w:rsidRPr="00B45F78">
        <w:rPr>
          <w:rFonts w:ascii="Arial" w:hAnsi="Arial" w:cs="Arial"/>
          <w:sz w:val="22"/>
          <w:szCs w:val="22"/>
        </w:rPr>
        <w:t>, per l'aggiudicatario, un minimo contrattuale garantito</w:t>
      </w:r>
      <w:r w:rsidR="003543DE">
        <w:rPr>
          <w:rFonts w:ascii="Arial" w:hAnsi="Arial" w:cs="Arial"/>
          <w:sz w:val="22"/>
          <w:szCs w:val="22"/>
        </w:rPr>
        <w:t>. L</w:t>
      </w:r>
      <w:r w:rsidRPr="00B45F78">
        <w:rPr>
          <w:rFonts w:ascii="Arial" w:hAnsi="Arial" w:cs="Arial"/>
          <w:sz w:val="22"/>
          <w:szCs w:val="22"/>
        </w:rPr>
        <w:t>e quantità effettive prodotte</w:t>
      </w:r>
      <w:r w:rsidR="00223643">
        <w:rPr>
          <w:rFonts w:ascii="Arial" w:hAnsi="Arial" w:cs="Arial"/>
          <w:sz w:val="22"/>
          <w:szCs w:val="22"/>
        </w:rPr>
        <w:t xml:space="preserve"> nei 18 mesi</w:t>
      </w:r>
      <w:r w:rsidRPr="00B45F78">
        <w:rPr>
          <w:rFonts w:ascii="Arial" w:hAnsi="Arial" w:cs="Arial"/>
          <w:sz w:val="22"/>
          <w:szCs w:val="22"/>
        </w:rPr>
        <w:t xml:space="preserve"> per ogni tipologia di rifiuto dipenderanno dalla produttiv</w:t>
      </w:r>
      <w:r>
        <w:rPr>
          <w:rFonts w:ascii="Arial" w:hAnsi="Arial" w:cs="Arial"/>
          <w:sz w:val="22"/>
          <w:szCs w:val="22"/>
        </w:rPr>
        <w:t>ità di ogni singolo</w:t>
      </w:r>
      <w:r w:rsidRPr="00B45F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Dipartimento universitario. </w:t>
      </w:r>
      <w:r w:rsidR="003543D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on costituisce elenco esaustivo la tipologia di C.E.R. </w:t>
      </w:r>
      <w:r w:rsidR="003543DE">
        <w:rPr>
          <w:rFonts w:ascii="Arial" w:hAnsi="Arial" w:cs="Arial"/>
          <w:sz w:val="22"/>
          <w:szCs w:val="22"/>
        </w:rPr>
        <w:t>sotto indicati.</w:t>
      </w:r>
    </w:p>
    <w:p w:rsidR="00A8555E" w:rsidRDefault="00A8555E" w:rsidP="002E3C3C">
      <w:pPr>
        <w:jc w:val="both"/>
        <w:rPr>
          <w:rFonts w:ascii="Arial" w:hAnsi="Arial" w:cs="Arial"/>
          <w:sz w:val="22"/>
          <w:szCs w:val="22"/>
        </w:rPr>
      </w:pPr>
    </w:p>
    <w:p w:rsidR="007F4C2E" w:rsidRDefault="007F4C2E" w:rsidP="002E3C3C">
      <w:pPr>
        <w:tabs>
          <w:tab w:val="left" w:pos="3060"/>
        </w:tabs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7"/>
        <w:gridCol w:w="1559"/>
        <w:gridCol w:w="3112"/>
      </w:tblGrid>
      <w:tr w:rsidR="00A0490B" w:rsidTr="00401A73">
        <w:trPr>
          <w:cantSplit/>
          <w:trHeight w:val="1518"/>
        </w:trPr>
        <w:tc>
          <w:tcPr>
            <w:tcW w:w="2405" w:type="dxa"/>
            <w:vAlign w:val="center"/>
          </w:tcPr>
          <w:p w:rsidR="00A0490B" w:rsidRPr="00A71441" w:rsidRDefault="00401A73" w:rsidP="00770A6C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417" w:type="dxa"/>
            <w:vAlign w:val="center"/>
          </w:tcPr>
          <w:p w:rsidR="00A0490B" w:rsidRPr="00A71441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1441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1441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1441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0490B" w:rsidRDefault="00A0490B" w:rsidP="00A0490B">
            <w:pPr>
              <w:tabs>
                <w:tab w:val="left" w:pos="306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FB6E2C">
              <w:rPr>
                <w:rFonts w:ascii="Arial" w:hAnsi="Arial" w:cs="Arial"/>
                <w:b/>
                <w:strike/>
                <w:sz w:val="22"/>
                <w:szCs w:val="22"/>
              </w:rPr>
              <w:t>Quantità annua stimata (kg)</w:t>
            </w:r>
          </w:p>
          <w:p w:rsidR="00FB6E2C" w:rsidRPr="00FB6E2C" w:rsidRDefault="00FB6E2C" w:rsidP="00A0490B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B6E2C">
              <w:rPr>
                <w:rFonts w:ascii="Arial" w:hAnsi="Arial" w:cs="Arial"/>
                <w:b/>
                <w:color w:val="FF0000"/>
                <w:sz w:val="22"/>
                <w:szCs w:val="22"/>
              </w:rPr>
              <w:t>Quantità stimata in 18 mesi (kg)</w:t>
            </w:r>
          </w:p>
        </w:tc>
        <w:tc>
          <w:tcPr>
            <w:tcW w:w="3112" w:type="dxa"/>
            <w:vAlign w:val="center"/>
          </w:tcPr>
          <w:p w:rsidR="00A0490B" w:rsidRPr="00A71441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1441">
              <w:rPr>
                <w:rFonts w:ascii="Arial" w:hAnsi="Arial" w:cs="Arial"/>
                <w:b/>
                <w:sz w:val="22"/>
                <w:szCs w:val="22"/>
              </w:rPr>
              <w:t>Descrizione rif</w:t>
            </w:r>
            <w:bookmarkStart w:id="0" w:name="_GoBack"/>
            <w:bookmarkEnd w:id="0"/>
            <w:r w:rsidRPr="00A71441">
              <w:rPr>
                <w:rFonts w:ascii="Arial" w:hAnsi="Arial" w:cs="Arial"/>
                <w:b/>
                <w:sz w:val="22"/>
                <w:szCs w:val="22"/>
              </w:rPr>
              <w:t>iuto</w:t>
            </w:r>
          </w:p>
        </w:tc>
      </w:tr>
      <w:tr w:rsidR="003E13DD" w:rsidTr="003E13DD">
        <w:trPr>
          <w:cantSplit/>
          <w:trHeight w:val="1134"/>
        </w:trPr>
        <w:tc>
          <w:tcPr>
            <w:tcW w:w="2405" w:type="dxa"/>
            <w:vMerge w:val="restart"/>
            <w:textDirection w:val="btLr"/>
            <w:vAlign w:val="center"/>
          </w:tcPr>
          <w:p w:rsidR="00A0490B" w:rsidRPr="00A0490B" w:rsidRDefault="00A0490B" w:rsidP="003E13DD">
            <w:pPr>
              <w:tabs>
                <w:tab w:val="left" w:pos="3060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90B">
              <w:rPr>
                <w:rFonts w:ascii="Arial" w:hAnsi="Arial" w:cs="Arial"/>
                <w:sz w:val="18"/>
                <w:szCs w:val="18"/>
              </w:rPr>
              <w:t>RIFIUTI DEI PROCESSI CHIMICI INORGANICI</w:t>
            </w:r>
          </w:p>
        </w:tc>
        <w:tc>
          <w:tcPr>
            <w:tcW w:w="1417" w:type="dxa"/>
            <w:vAlign w:val="center"/>
          </w:tcPr>
          <w:p w:rsidR="00A0490B" w:rsidRPr="0084287A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060106*</w:t>
            </w:r>
          </w:p>
        </w:tc>
        <w:tc>
          <w:tcPr>
            <w:tcW w:w="1559" w:type="dxa"/>
            <w:vAlign w:val="center"/>
          </w:tcPr>
          <w:p w:rsid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112" w:type="dxa"/>
            <w:vAlign w:val="center"/>
          </w:tcPr>
          <w:p w:rsidR="00A0490B" w:rsidRPr="003E13DD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Altri acidi</w:t>
            </w:r>
          </w:p>
        </w:tc>
      </w:tr>
      <w:tr w:rsidR="003E13DD" w:rsidTr="003E13DD">
        <w:trPr>
          <w:trHeight w:val="1134"/>
        </w:trPr>
        <w:tc>
          <w:tcPr>
            <w:tcW w:w="2405" w:type="dxa"/>
            <w:vMerge/>
          </w:tcPr>
          <w:p w:rsidR="00A0490B" w:rsidRP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060205*</w:t>
            </w:r>
          </w:p>
        </w:tc>
        <w:tc>
          <w:tcPr>
            <w:tcW w:w="1559" w:type="dxa"/>
            <w:vAlign w:val="center"/>
          </w:tcPr>
          <w:p w:rsid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112" w:type="dxa"/>
            <w:vAlign w:val="center"/>
          </w:tcPr>
          <w:p w:rsidR="00A0490B" w:rsidRPr="003E13DD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Altre basi</w:t>
            </w:r>
          </w:p>
        </w:tc>
      </w:tr>
      <w:tr w:rsidR="003E13DD" w:rsidTr="003E13DD">
        <w:trPr>
          <w:trHeight w:val="1134"/>
        </w:trPr>
        <w:tc>
          <w:tcPr>
            <w:tcW w:w="2405" w:type="dxa"/>
            <w:vMerge/>
          </w:tcPr>
          <w:p w:rsidR="00A0490B" w:rsidRP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32DA6">
              <w:rPr>
                <w:rFonts w:ascii="Arial" w:hAnsi="Arial" w:cs="Arial"/>
                <w:sz w:val="22"/>
                <w:szCs w:val="22"/>
              </w:rPr>
              <w:t>060404*</w:t>
            </w:r>
          </w:p>
        </w:tc>
        <w:tc>
          <w:tcPr>
            <w:tcW w:w="1559" w:type="dxa"/>
            <w:vAlign w:val="center"/>
          </w:tcPr>
          <w:p w:rsid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112" w:type="dxa"/>
            <w:vAlign w:val="center"/>
          </w:tcPr>
          <w:p w:rsidR="00A0490B" w:rsidRPr="003E13DD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Rifiuti contenenti mercurio</w:t>
            </w:r>
          </w:p>
        </w:tc>
      </w:tr>
      <w:tr w:rsidR="003E13DD" w:rsidTr="003E13DD">
        <w:trPr>
          <w:cantSplit/>
          <w:trHeight w:val="1134"/>
        </w:trPr>
        <w:tc>
          <w:tcPr>
            <w:tcW w:w="2405" w:type="dxa"/>
            <w:vMerge w:val="restart"/>
            <w:textDirection w:val="btLr"/>
            <w:vAlign w:val="center"/>
          </w:tcPr>
          <w:p w:rsidR="00A0490B" w:rsidRPr="00A0490B" w:rsidRDefault="00A0490B" w:rsidP="003E13DD">
            <w:pPr>
              <w:tabs>
                <w:tab w:val="left" w:pos="3060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90B">
              <w:rPr>
                <w:rFonts w:ascii="Arial" w:hAnsi="Arial" w:cs="Arial"/>
                <w:sz w:val="18"/>
                <w:szCs w:val="18"/>
              </w:rPr>
              <w:t>RIFIUTI DEI PROCESSI CHIMICI ORGANICI</w:t>
            </w:r>
          </w:p>
        </w:tc>
        <w:tc>
          <w:tcPr>
            <w:tcW w:w="1417" w:type="dxa"/>
            <w:vAlign w:val="center"/>
          </w:tcPr>
          <w:p w:rsid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84287A">
              <w:rPr>
                <w:rFonts w:ascii="Arial" w:hAnsi="Arial" w:cs="Arial"/>
                <w:sz w:val="22"/>
                <w:szCs w:val="22"/>
              </w:rPr>
              <w:t>070103*</w:t>
            </w:r>
          </w:p>
        </w:tc>
        <w:tc>
          <w:tcPr>
            <w:tcW w:w="1559" w:type="dxa"/>
            <w:vAlign w:val="center"/>
          </w:tcPr>
          <w:p w:rsid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0490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3112" w:type="dxa"/>
            <w:vAlign w:val="center"/>
          </w:tcPr>
          <w:p w:rsidR="00A0490B" w:rsidRPr="003E13DD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Solventi organici alogenati, soluzioni di lavaggio ed acque madri</w:t>
            </w:r>
          </w:p>
        </w:tc>
      </w:tr>
      <w:tr w:rsidR="003E13DD" w:rsidTr="003E13DD">
        <w:trPr>
          <w:trHeight w:val="1191"/>
        </w:trPr>
        <w:tc>
          <w:tcPr>
            <w:tcW w:w="2405" w:type="dxa"/>
            <w:vMerge/>
          </w:tcPr>
          <w:p w:rsidR="00A0490B" w:rsidRP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490B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84287A">
              <w:rPr>
                <w:rFonts w:ascii="Arial" w:hAnsi="Arial" w:cs="Arial"/>
                <w:sz w:val="22"/>
                <w:szCs w:val="22"/>
              </w:rPr>
              <w:t>070104*</w:t>
            </w:r>
          </w:p>
        </w:tc>
        <w:tc>
          <w:tcPr>
            <w:tcW w:w="1559" w:type="dxa"/>
            <w:vAlign w:val="center"/>
          </w:tcPr>
          <w:p w:rsid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0490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3112" w:type="dxa"/>
            <w:vAlign w:val="center"/>
          </w:tcPr>
          <w:p w:rsidR="00A0490B" w:rsidRPr="003E13DD" w:rsidRDefault="00A0490B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Altri solventi organici, soluzioni di lavaggio ed acque madri</w:t>
            </w:r>
          </w:p>
        </w:tc>
      </w:tr>
      <w:tr w:rsidR="007F4C2E" w:rsidTr="003E13DD">
        <w:trPr>
          <w:trHeight w:val="1247"/>
        </w:trPr>
        <w:tc>
          <w:tcPr>
            <w:tcW w:w="2405" w:type="dxa"/>
            <w:vMerge/>
          </w:tcPr>
          <w:p w:rsidR="007F4C2E" w:rsidRP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0707</w:t>
            </w:r>
            <w:r w:rsidRPr="0084287A">
              <w:rPr>
                <w:rFonts w:ascii="Arial" w:hAnsi="Arial" w:cs="Arial"/>
                <w:sz w:val="22"/>
                <w:szCs w:val="22"/>
              </w:rPr>
              <w:t>03*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Solventi organici alogenati, soluzioni di lavaggio ed acque madri</w:t>
            </w:r>
          </w:p>
        </w:tc>
      </w:tr>
      <w:tr w:rsidR="007F4C2E" w:rsidTr="003E13DD">
        <w:trPr>
          <w:trHeight w:val="1247"/>
        </w:trPr>
        <w:tc>
          <w:tcPr>
            <w:tcW w:w="2405" w:type="dxa"/>
            <w:vMerge/>
          </w:tcPr>
          <w:p w:rsidR="007F4C2E" w:rsidRP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0707</w:t>
            </w:r>
            <w:r w:rsidRPr="0084287A">
              <w:rPr>
                <w:rFonts w:ascii="Arial" w:hAnsi="Arial" w:cs="Arial"/>
                <w:sz w:val="22"/>
                <w:szCs w:val="22"/>
              </w:rPr>
              <w:t>04*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Altri solventi organici, soluzioni di lavaggio ed acque madri</w:t>
            </w:r>
          </w:p>
        </w:tc>
      </w:tr>
      <w:tr w:rsidR="007F4C2E" w:rsidTr="003E13DD">
        <w:trPr>
          <w:cantSplit/>
          <w:trHeight w:val="1247"/>
        </w:trPr>
        <w:tc>
          <w:tcPr>
            <w:tcW w:w="2405" w:type="dxa"/>
            <w:vMerge w:val="restart"/>
            <w:textDirection w:val="btLr"/>
            <w:vAlign w:val="center"/>
          </w:tcPr>
          <w:p w:rsidR="007F4C2E" w:rsidRPr="00A0490B" w:rsidRDefault="007F4C2E" w:rsidP="003E13DD">
            <w:pPr>
              <w:tabs>
                <w:tab w:val="left" w:pos="3060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90B">
              <w:rPr>
                <w:rFonts w:ascii="Arial" w:hAnsi="Arial" w:cs="Arial"/>
                <w:sz w:val="18"/>
                <w:szCs w:val="18"/>
              </w:rPr>
              <w:t>RIFIUTI DELL'INDUSTRIA FOTOGRAFICA</w:t>
            </w: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84287A">
              <w:rPr>
                <w:rFonts w:ascii="Arial" w:hAnsi="Arial" w:cs="Arial"/>
                <w:sz w:val="22"/>
                <w:szCs w:val="22"/>
              </w:rPr>
              <w:t>090101*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Soluzioni di sviluppo e attivanti a base acquosa</w:t>
            </w:r>
          </w:p>
        </w:tc>
      </w:tr>
      <w:tr w:rsidR="007F4C2E" w:rsidTr="003E13DD">
        <w:trPr>
          <w:trHeight w:val="1247"/>
        </w:trPr>
        <w:tc>
          <w:tcPr>
            <w:tcW w:w="2405" w:type="dxa"/>
            <w:vMerge/>
          </w:tcPr>
          <w:p w:rsidR="007F4C2E" w:rsidRP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637307">
              <w:rPr>
                <w:rFonts w:ascii="Arial" w:hAnsi="Arial" w:cs="Arial"/>
                <w:sz w:val="22"/>
                <w:szCs w:val="22"/>
              </w:rPr>
              <w:t>090104*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Soluzioni fissative</w:t>
            </w:r>
          </w:p>
        </w:tc>
      </w:tr>
      <w:tr w:rsidR="007F4C2E" w:rsidTr="003E13DD">
        <w:trPr>
          <w:cantSplit/>
          <w:trHeight w:val="1134"/>
        </w:trPr>
        <w:tc>
          <w:tcPr>
            <w:tcW w:w="2405" w:type="dxa"/>
            <w:vMerge w:val="restart"/>
            <w:textDirection w:val="btLr"/>
            <w:vAlign w:val="center"/>
          </w:tcPr>
          <w:p w:rsidR="007F4C2E" w:rsidRPr="00A0490B" w:rsidRDefault="007F4C2E" w:rsidP="003E13DD">
            <w:pPr>
              <w:tabs>
                <w:tab w:val="left" w:pos="3060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90B">
              <w:rPr>
                <w:rFonts w:ascii="Arial" w:hAnsi="Arial" w:cs="Arial"/>
                <w:sz w:val="18"/>
                <w:szCs w:val="18"/>
              </w:rPr>
              <w:t>RIFIUTI DI IMBALLAGGIO, ASSORBENTI, STRACCI, MATERIALI FILTRANTI E INDUMENTI PROTETTIVI (</w:t>
            </w:r>
            <w:r>
              <w:rPr>
                <w:rFonts w:ascii="Arial" w:hAnsi="Arial" w:cs="Arial"/>
                <w:sz w:val="18"/>
                <w:szCs w:val="18"/>
              </w:rPr>
              <w:t>N.S.A.)</w:t>
            </w: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B17DD">
              <w:rPr>
                <w:rFonts w:ascii="Arial" w:hAnsi="Arial" w:cs="Arial"/>
                <w:sz w:val="22"/>
                <w:szCs w:val="22"/>
              </w:rPr>
              <w:t>150110*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Imballaggi contenenti residui di sostanze pericolose o contaminati da tali sostanze</w:t>
            </w:r>
          </w:p>
        </w:tc>
      </w:tr>
      <w:tr w:rsidR="007F4C2E" w:rsidTr="003E13DD">
        <w:trPr>
          <w:trHeight w:val="1134"/>
        </w:trPr>
        <w:tc>
          <w:tcPr>
            <w:tcW w:w="2405" w:type="dxa"/>
            <w:vMerge/>
          </w:tcPr>
          <w:p w:rsidR="007F4C2E" w:rsidRPr="00A0490B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B17DD">
              <w:rPr>
                <w:rFonts w:ascii="Arial" w:hAnsi="Arial" w:cs="Arial"/>
                <w:sz w:val="22"/>
                <w:szCs w:val="22"/>
              </w:rPr>
              <w:t>150202*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3E13DD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 xml:space="preserve">Assorbenti, materiali filtranti (inclusi filtri </w:t>
            </w:r>
            <w:r>
              <w:rPr>
                <w:rFonts w:ascii="Arial" w:hAnsi="Arial" w:cs="Arial"/>
                <w:sz w:val="20"/>
              </w:rPr>
              <w:t xml:space="preserve">dell’olio </w:t>
            </w:r>
            <w:proofErr w:type="spellStart"/>
            <w:r w:rsidRPr="003E13DD">
              <w:rPr>
                <w:rFonts w:ascii="Arial" w:hAnsi="Arial" w:cs="Arial"/>
                <w:sz w:val="20"/>
              </w:rPr>
              <w:t>n.s.a</w:t>
            </w:r>
            <w:proofErr w:type="spellEnd"/>
            <w:r w:rsidRPr="003E13DD">
              <w:rPr>
                <w:rFonts w:ascii="Arial" w:hAnsi="Arial" w:cs="Arial"/>
                <w:sz w:val="20"/>
              </w:rPr>
              <w:t>.), stracci e indumenti protettivi, contaminati da sostanze pericolose</w:t>
            </w:r>
          </w:p>
        </w:tc>
      </w:tr>
      <w:tr w:rsidR="007F4C2E" w:rsidTr="003E13DD">
        <w:trPr>
          <w:cantSplit/>
          <w:trHeight w:val="1134"/>
        </w:trPr>
        <w:tc>
          <w:tcPr>
            <w:tcW w:w="2405" w:type="dxa"/>
            <w:vMerge w:val="restart"/>
            <w:textDirection w:val="btLr"/>
            <w:vAlign w:val="center"/>
          </w:tcPr>
          <w:p w:rsidR="007F4C2E" w:rsidRPr="00A0490B" w:rsidRDefault="007F4C2E" w:rsidP="003E13DD">
            <w:pPr>
              <w:tabs>
                <w:tab w:val="left" w:pos="3060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90B">
              <w:rPr>
                <w:rFonts w:ascii="Arial" w:hAnsi="Arial" w:cs="Arial"/>
                <w:sz w:val="18"/>
                <w:szCs w:val="18"/>
              </w:rPr>
              <w:t>RIFIUTI NON SPECIFICATI ALTRIMENTI NELL'ELENCO</w:t>
            </w: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B17DD">
              <w:rPr>
                <w:rFonts w:ascii="Arial" w:hAnsi="Arial" w:cs="Arial"/>
                <w:sz w:val="22"/>
                <w:szCs w:val="22"/>
              </w:rPr>
              <w:t>160506*</w:t>
            </w:r>
          </w:p>
          <w:p w:rsidR="007F4C2E" w:rsidRPr="00A86FB4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A86FB4">
              <w:rPr>
                <w:rFonts w:ascii="Arial" w:hAnsi="Arial" w:cs="Arial"/>
                <w:sz w:val="18"/>
                <w:szCs w:val="18"/>
              </w:rPr>
              <w:t>LIQUIDO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Sostanze chimiche di laboratorio contenenti o costituite da sostanze pericolose, comprese le miscele di sostanze chimiche di laboratorio</w:t>
            </w:r>
          </w:p>
        </w:tc>
      </w:tr>
      <w:tr w:rsidR="007F4C2E" w:rsidTr="003E13DD">
        <w:trPr>
          <w:trHeight w:val="1134"/>
        </w:trPr>
        <w:tc>
          <w:tcPr>
            <w:tcW w:w="2405" w:type="dxa"/>
            <w:vMerge/>
          </w:tcPr>
          <w:p w:rsidR="007F4C2E" w:rsidRPr="00EB17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B17DD">
              <w:rPr>
                <w:rFonts w:ascii="Arial" w:hAnsi="Arial" w:cs="Arial"/>
                <w:sz w:val="22"/>
                <w:szCs w:val="22"/>
              </w:rPr>
              <w:t>160506*</w:t>
            </w:r>
          </w:p>
          <w:p w:rsidR="007F4C2E" w:rsidRPr="00A86FB4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A86FB4">
              <w:rPr>
                <w:rFonts w:ascii="Arial" w:hAnsi="Arial" w:cs="Arial"/>
                <w:sz w:val="18"/>
                <w:szCs w:val="18"/>
              </w:rPr>
              <w:t>SOLIDO N.P.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Sostanze chimiche di laboratorio contenenti o costituite da sostanze pericolose, comprese le miscele di sostanze chimiche di laboratorio</w:t>
            </w:r>
          </w:p>
        </w:tc>
      </w:tr>
      <w:tr w:rsidR="007F4C2E" w:rsidTr="003E13DD">
        <w:trPr>
          <w:trHeight w:val="1134"/>
        </w:trPr>
        <w:tc>
          <w:tcPr>
            <w:tcW w:w="2405" w:type="dxa"/>
            <w:vMerge/>
          </w:tcPr>
          <w:p w:rsidR="007F4C2E" w:rsidRPr="00EB17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4C2E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EB17DD">
              <w:rPr>
                <w:rFonts w:ascii="Arial" w:hAnsi="Arial" w:cs="Arial"/>
                <w:sz w:val="22"/>
                <w:szCs w:val="22"/>
              </w:rPr>
              <w:t>160508*</w:t>
            </w:r>
          </w:p>
        </w:tc>
        <w:tc>
          <w:tcPr>
            <w:tcW w:w="1559" w:type="dxa"/>
            <w:vAlign w:val="center"/>
          </w:tcPr>
          <w:p w:rsidR="007F4C2E" w:rsidRDefault="007F4C2E" w:rsidP="007A47C8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112" w:type="dxa"/>
            <w:vAlign w:val="center"/>
          </w:tcPr>
          <w:p w:rsidR="007F4C2E" w:rsidRPr="003E13DD" w:rsidRDefault="007F4C2E" w:rsidP="001C4ACC">
            <w:pPr>
              <w:tabs>
                <w:tab w:val="left" w:pos="3060"/>
              </w:tabs>
              <w:rPr>
                <w:rFonts w:ascii="Arial" w:hAnsi="Arial" w:cs="Arial"/>
                <w:sz w:val="20"/>
              </w:rPr>
            </w:pPr>
            <w:r w:rsidRPr="003E13DD">
              <w:rPr>
                <w:rFonts w:ascii="Arial" w:hAnsi="Arial" w:cs="Arial"/>
                <w:sz w:val="20"/>
              </w:rPr>
              <w:t>Sostanze chimiche organiche di scarto contenenti o costituite da sostanze pericolose</w:t>
            </w:r>
          </w:p>
        </w:tc>
      </w:tr>
    </w:tbl>
    <w:p w:rsidR="002E3C3C" w:rsidRDefault="002E3C3C" w:rsidP="008C2FDA"/>
    <w:p w:rsidR="008C2FDA" w:rsidRDefault="008C2FDA" w:rsidP="008C2FDA"/>
    <w:p w:rsidR="001E7FB0" w:rsidRDefault="001E7FB0" w:rsidP="008C2FDA"/>
    <w:p w:rsidR="001E7FB0" w:rsidRDefault="001E7FB0" w:rsidP="008C2FDA"/>
    <w:p w:rsidR="001E7FB0" w:rsidRDefault="001E7FB0" w:rsidP="008C2FDA"/>
    <w:p w:rsidR="00A8555E" w:rsidRDefault="00A8555E" w:rsidP="008C2FDA"/>
    <w:p w:rsidR="00A8555E" w:rsidRDefault="00A8555E" w:rsidP="008C2FDA"/>
    <w:p w:rsidR="00A8555E" w:rsidRDefault="00A8555E" w:rsidP="008C2FD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9"/>
        <w:gridCol w:w="2013"/>
        <w:gridCol w:w="2402"/>
      </w:tblGrid>
      <w:tr w:rsidR="001E7FB0" w:rsidRPr="001E7FB0" w:rsidTr="0002095F">
        <w:trPr>
          <w:trHeight w:hRule="exact" w:val="680"/>
        </w:trPr>
        <w:tc>
          <w:tcPr>
            <w:tcW w:w="2401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7FB0">
              <w:rPr>
                <w:rFonts w:ascii="Arial" w:hAnsi="Arial" w:cs="Arial"/>
                <w:b/>
                <w:sz w:val="22"/>
                <w:szCs w:val="22"/>
              </w:rPr>
              <w:t>Dipartimenti</w:t>
            </w:r>
          </w:p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7FB0">
              <w:rPr>
                <w:rFonts w:ascii="Arial" w:hAnsi="Arial" w:cs="Arial"/>
                <w:b/>
                <w:sz w:val="22"/>
                <w:szCs w:val="22"/>
              </w:rPr>
              <w:t>Sedi unità locali</w:t>
            </w:r>
          </w:p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vAlign w:val="center"/>
          </w:tcPr>
          <w:p w:rsidR="001E7FB0" w:rsidRPr="001E7FB0" w:rsidRDefault="00106999" w:rsidP="00A8555E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Numero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asporti  </w:t>
            </w:r>
            <w:r w:rsidR="001E7FB0" w:rsidRPr="001E7FB0">
              <w:rPr>
                <w:rFonts w:ascii="Arial" w:hAnsi="Arial" w:cs="Arial"/>
                <w:b/>
                <w:sz w:val="22"/>
                <w:szCs w:val="22"/>
              </w:rPr>
              <w:t>previsti</w:t>
            </w:r>
            <w:proofErr w:type="gramEnd"/>
            <w:r w:rsidR="001E7FB0" w:rsidRPr="001E7F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555E">
              <w:rPr>
                <w:rFonts w:ascii="Arial" w:hAnsi="Arial" w:cs="Arial"/>
                <w:b/>
                <w:sz w:val="22"/>
                <w:szCs w:val="22"/>
              </w:rPr>
              <w:t>in 18 mesi</w:t>
            </w:r>
          </w:p>
        </w:tc>
      </w:tr>
      <w:tr w:rsidR="001E7FB0" w:rsidRPr="001E7FB0" w:rsidTr="00106999">
        <w:trPr>
          <w:trHeight w:val="567"/>
        </w:trPr>
        <w:tc>
          <w:tcPr>
            <w:tcW w:w="2401" w:type="pct"/>
            <w:vMerge w:val="restar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Dipartimento di Scienze della Vita</w:t>
            </w: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1E7FB0">
              <w:rPr>
                <w:rFonts w:ascii="Arial" w:hAnsi="Arial" w:cs="Arial"/>
                <w:sz w:val="22"/>
                <w:szCs w:val="22"/>
              </w:rPr>
              <w:t>Giorgieri</w:t>
            </w:r>
            <w:proofErr w:type="spellEnd"/>
            <w:r w:rsidRPr="001E7FB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E7FB0" w:rsidRPr="001E7FB0" w:rsidTr="00106999">
        <w:trPr>
          <w:trHeight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1E7FB0">
              <w:rPr>
                <w:rFonts w:ascii="Arial" w:hAnsi="Arial" w:cs="Arial"/>
                <w:sz w:val="22"/>
                <w:szCs w:val="22"/>
              </w:rPr>
              <w:t>Giorgieri</w:t>
            </w:r>
            <w:proofErr w:type="spellEnd"/>
            <w:r w:rsidRPr="001E7FB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E7FB0" w:rsidRPr="001E7FB0" w:rsidTr="00106999">
        <w:trPr>
          <w:trHeight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1E7FB0">
              <w:rPr>
                <w:rFonts w:ascii="Arial" w:hAnsi="Arial" w:cs="Arial"/>
                <w:sz w:val="22"/>
                <w:szCs w:val="22"/>
              </w:rPr>
              <w:t>Giorgieri</w:t>
            </w:r>
            <w:proofErr w:type="spellEnd"/>
            <w:r w:rsidRPr="001E7FB0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E7FB0" w:rsidRPr="001E7FB0" w:rsidTr="00106999">
        <w:trPr>
          <w:trHeight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Valerio 6/3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E7FB0" w:rsidRPr="001E7FB0" w:rsidTr="00106999">
        <w:trPr>
          <w:trHeight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Fleming 31/B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E7FB0" w:rsidRPr="001E7FB0" w:rsidTr="00106999">
        <w:trPr>
          <w:trHeight w:hRule="exact" w:val="283"/>
        </w:trPr>
        <w:tc>
          <w:tcPr>
            <w:tcW w:w="3585" w:type="pct"/>
            <w:gridSpan w:val="2"/>
            <w:shd w:val="clear" w:color="auto" w:fill="F2F2F2" w:themeFill="background1" w:themeFillShade="F2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F2F2F2" w:themeFill="background1" w:themeFillShade="F2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FB0" w:rsidRPr="001E7FB0" w:rsidTr="00106999">
        <w:trPr>
          <w:trHeight w:hRule="exact" w:val="567"/>
        </w:trPr>
        <w:tc>
          <w:tcPr>
            <w:tcW w:w="2401" w:type="pct"/>
            <w:vMerge w:val="restar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Dipartimento di Scienze Chimiche e Farmaceutiche</w:t>
            </w: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1E7FB0">
              <w:rPr>
                <w:rFonts w:ascii="Arial" w:hAnsi="Arial" w:cs="Arial"/>
                <w:sz w:val="22"/>
                <w:szCs w:val="22"/>
              </w:rPr>
              <w:t>Giorgieri</w:t>
            </w:r>
            <w:proofErr w:type="spellEnd"/>
            <w:r w:rsidRPr="001E7FB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E7FB0" w:rsidRPr="001E7FB0" w:rsidTr="00106999">
        <w:trPr>
          <w:trHeight w:hRule="exact"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Piazzale Europa 1 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E7FB0" w:rsidRPr="001E7FB0" w:rsidTr="00106999">
        <w:trPr>
          <w:trHeight w:hRule="exact" w:val="567"/>
        </w:trPr>
        <w:tc>
          <w:tcPr>
            <w:tcW w:w="2401" w:type="pct"/>
            <w:vMerge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Valerio 6/3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E7FB0" w:rsidRPr="001E7FB0" w:rsidTr="00106999">
        <w:trPr>
          <w:trHeight w:hRule="exact" w:val="283"/>
        </w:trPr>
        <w:tc>
          <w:tcPr>
            <w:tcW w:w="3585" w:type="pct"/>
            <w:gridSpan w:val="2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FB0" w:rsidRPr="001E7FB0" w:rsidTr="00106999">
        <w:trPr>
          <w:trHeight w:hRule="exact" w:val="567"/>
        </w:trPr>
        <w:tc>
          <w:tcPr>
            <w:tcW w:w="2401" w:type="pct"/>
            <w:tcBorders>
              <w:bottom w:val="single" w:sz="4" w:space="0" w:color="auto"/>
            </w:tcBorders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Dipartimento di Ingegneria e Architettura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Valerio 6/A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E7FB0" w:rsidRPr="001E7FB0" w:rsidTr="00106999">
        <w:trPr>
          <w:trHeight w:hRule="exact" w:val="283"/>
        </w:trPr>
        <w:tc>
          <w:tcPr>
            <w:tcW w:w="3585" w:type="pct"/>
            <w:gridSpan w:val="2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FB0" w:rsidRPr="001E7FB0" w:rsidTr="00106999">
        <w:trPr>
          <w:trHeight w:hRule="exact" w:val="794"/>
        </w:trPr>
        <w:tc>
          <w:tcPr>
            <w:tcW w:w="2401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Dipartimento Universitario Clinico di Scienze mediche, chirurgiche e della salute</w:t>
            </w:r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Manzoni 16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E7FB0" w:rsidRPr="001E7FB0" w:rsidTr="00106999">
        <w:trPr>
          <w:trHeight w:hRule="exact" w:val="283"/>
        </w:trPr>
        <w:tc>
          <w:tcPr>
            <w:tcW w:w="3585" w:type="pct"/>
            <w:gridSpan w:val="2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FB0" w:rsidRPr="001E7FB0" w:rsidTr="00106999">
        <w:trPr>
          <w:trHeight w:hRule="exact" w:val="680"/>
        </w:trPr>
        <w:tc>
          <w:tcPr>
            <w:tcW w:w="2401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 xml:space="preserve">Dipartimento di Matematica e </w:t>
            </w:r>
            <w:proofErr w:type="spellStart"/>
            <w:r w:rsidRPr="001E7FB0">
              <w:rPr>
                <w:rFonts w:ascii="Arial" w:hAnsi="Arial" w:cs="Arial"/>
                <w:sz w:val="22"/>
                <w:szCs w:val="22"/>
              </w:rPr>
              <w:t>Geoscienze</w:t>
            </w:r>
            <w:proofErr w:type="spellEnd"/>
          </w:p>
        </w:tc>
        <w:tc>
          <w:tcPr>
            <w:tcW w:w="1185" w:type="pct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1E7FB0">
              <w:rPr>
                <w:rFonts w:ascii="Arial" w:hAnsi="Arial" w:cs="Arial"/>
                <w:sz w:val="22"/>
                <w:szCs w:val="22"/>
              </w:rPr>
              <w:t>Via Weiss 2</w:t>
            </w:r>
          </w:p>
        </w:tc>
        <w:tc>
          <w:tcPr>
            <w:tcW w:w="1415" w:type="pct"/>
            <w:vAlign w:val="center"/>
          </w:tcPr>
          <w:p w:rsidR="001E7FB0" w:rsidRPr="001E7FB0" w:rsidRDefault="00A8555E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E7FB0" w:rsidRPr="001E7FB0" w:rsidTr="00106999">
        <w:trPr>
          <w:trHeight w:hRule="exact" w:val="283"/>
        </w:trPr>
        <w:tc>
          <w:tcPr>
            <w:tcW w:w="3585" w:type="pct"/>
            <w:gridSpan w:val="2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pct"/>
            <w:shd w:val="pct5" w:color="auto" w:fill="auto"/>
            <w:vAlign w:val="center"/>
          </w:tcPr>
          <w:p w:rsidR="001E7FB0" w:rsidRPr="001E7FB0" w:rsidRDefault="001E7FB0" w:rsidP="001E7FB0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7FB0" w:rsidRDefault="001E7FB0" w:rsidP="008C2FDA"/>
    <w:p w:rsidR="008C2FDA" w:rsidRDefault="008C2FDA" w:rsidP="008C2FDA"/>
    <w:p w:rsidR="00A0490B" w:rsidRDefault="00A0490B" w:rsidP="008C2FDA"/>
    <w:p w:rsidR="001E7FB0" w:rsidRDefault="001E7FB0" w:rsidP="008C2FDA"/>
    <w:p w:rsidR="001E7FB0" w:rsidRDefault="001E7FB0" w:rsidP="008C2FDA"/>
    <w:p w:rsidR="001E7FB0" w:rsidRDefault="001E7FB0" w:rsidP="008C2FDA"/>
    <w:p w:rsidR="001E7FB0" w:rsidRDefault="001E7FB0" w:rsidP="008C2FDA"/>
    <w:sectPr w:rsidR="001E7FB0" w:rsidSect="00DB3077">
      <w:headerReference w:type="default" r:id="rId8"/>
      <w:footerReference w:type="default" r:id="rId9"/>
      <w:pgSz w:w="11906" w:h="16838" w:code="9"/>
      <w:pgMar w:top="1418" w:right="1701" w:bottom="1701" w:left="1701" w:header="1135" w:footer="94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61" w:rsidRDefault="00EC0361">
      <w:r>
        <w:separator/>
      </w:r>
    </w:p>
  </w:endnote>
  <w:endnote w:type="continuationSeparator" w:id="0">
    <w:p w:rsidR="00EC0361" w:rsidRDefault="00EC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B1" w:rsidRPr="00A64687" w:rsidRDefault="003D07B1" w:rsidP="00DB3077">
    <w:pPr>
      <w:rPr>
        <w:rFonts w:ascii="Arial" w:hAnsi="Arial" w:cs="Arial"/>
        <w:sz w:val="18"/>
        <w:szCs w:val="18"/>
      </w:rPr>
    </w:pPr>
    <w:r w:rsidRPr="00A64687">
      <w:rPr>
        <w:rFonts w:ascii="Arial" w:hAnsi="Arial" w:cs="Arial"/>
        <w:i/>
        <w:sz w:val="18"/>
        <w:szCs w:val="18"/>
      </w:rPr>
      <w:t xml:space="preserve">Legge 241/1990 - Responsabile del procedimento: </w:t>
    </w:r>
    <w:r>
      <w:rPr>
        <w:rFonts w:ascii="Arial" w:hAnsi="Arial" w:cs="Arial"/>
        <w:i/>
        <w:sz w:val="18"/>
        <w:szCs w:val="18"/>
      </w:rPr>
      <w:t xml:space="preserve">dott. Paolo Balsini </w:t>
    </w:r>
  </w:p>
  <w:tbl>
    <w:tblPr>
      <w:tblW w:w="0" w:type="auto"/>
      <w:tblInd w:w="-142" w:type="dxa"/>
      <w:tblLook w:val="01E0" w:firstRow="1" w:lastRow="1" w:firstColumn="1" w:lastColumn="1" w:noHBand="0" w:noVBand="0"/>
    </w:tblPr>
    <w:tblGrid>
      <w:gridCol w:w="3828"/>
      <w:gridCol w:w="1418"/>
      <w:gridCol w:w="3400"/>
    </w:tblGrid>
    <w:tr w:rsidR="003D07B1" w:rsidRPr="00FB6E2C" w:rsidTr="00DB3077">
      <w:tc>
        <w:tcPr>
          <w:tcW w:w="3828" w:type="dxa"/>
          <w:shd w:val="clear" w:color="auto" w:fill="auto"/>
        </w:tcPr>
        <w:p w:rsidR="003D07B1" w:rsidRPr="007B4F39" w:rsidRDefault="003D07B1" w:rsidP="00DB3077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7B4F39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3D07B1" w:rsidRDefault="003D07B1" w:rsidP="00DB3077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sz w:val="16"/>
              <w:szCs w:val="16"/>
            </w:rPr>
            <w:t>Piazzale Europa, 1</w:t>
          </w:r>
          <w:r>
            <w:rPr>
              <w:rFonts w:ascii="Arial" w:hAnsi="Arial" w:cs="Arial"/>
              <w:sz w:val="16"/>
              <w:szCs w:val="16"/>
            </w:rPr>
            <w:t xml:space="preserve"> - </w:t>
          </w:r>
          <w:r w:rsidRPr="007B4F39">
            <w:rPr>
              <w:rFonts w:ascii="Arial" w:hAnsi="Arial" w:cs="Arial"/>
              <w:sz w:val="16"/>
              <w:szCs w:val="16"/>
            </w:rPr>
            <w:t>34127 Trieste</w:t>
          </w:r>
        </w:p>
        <w:p w:rsidR="003D07B1" w:rsidRPr="00C95A45" w:rsidRDefault="003D07B1" w:rsidP="00DB3077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C95A45">
            <w:rPr>
              <w:rFonts w:ascii="Arial" w:hAnsi="Arial" w:cs="Arial"/>
              <w:sz w:val="16"/>
              <w:szCs w:val="16"/>
              <w:lang w:val="en-US"/>
            </w:rPr>
            <w:t>Tel. +39 040 558 3033 – 7165 – 7855 – 3036</w:t>
          </w:r>
        </w:p>
        <w:p w:rsidR="003D07B1" w:rsidRPr="00C95A45" w:rsidRDefault="003D07B1" w:rsidP="00DB3077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C95A45">
            <w:rPr>
              <w:rFonts w:ascii="Arial" w:hAnsi="Arial" w:cs="Arial"/>
              <w:sz w:val="16"/>
              <w:szCs w:val="16"/>
              <w:lang w:val="en-US"/>
            </w:rPr>
            <w:t>Fax +39 040 558 7969</w:t>
          </w:r>
        </w:p>
        <w:p w:rsidR="003D07B1" w:rsidRPr="00C95A45" w:rsidRDefault="003D07B1" w:rsidP="00DB3077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C95A45">
            <w:rPr>
              <w:rFonts w:ascii="Arial" w:hAnsi="Arial" w:cs="Arial"/>
              <w:sz w:val="16"/>
              <w:szCs w:val="16"/>
              <w:lang w:val="en-US"/>
            </w:rPr>
            <w:t>http://www.web.units.it/premi-studio/</w:t>
          </w:r>
        </w:p>
      </w:tc>
      <w:tc>
        <w:tcPr>
          <w:tcW w:w="1418" w:type="dxa"/>
        </w:tcPr>
        <w:p w:rsidR="003D07B1" w:rsidRPr="00C95A45" w:rsidRDefault="003D07B1" w:rsidP="00DB307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400" w:type="dxa"/>
          <w:shd w:val="clear" w:color="auto" w:fill="auto"/>
        </w:tcPr>
        <w:p w:rsidR="003D07B1" w:rsidRPr="00681ED3" w:rsidRDefault="003D07B1" w:rsidP="00DB30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681ED3">
            <w:rPr>
              <w:rFonts w:ascii="Arial" w:hAnsi="Arial" w:cs="Arial"/>
              <w:sz w:val="16"/>
              <w:szCs w:val="16"/>
            </w:rPr>
            <w:t>Responsabile dell’istruttoria:</w:t>
          </w:r>
        </w:p>
        <w:p w:rsidR="003D07B1" w:rsidRPr="00681ED3" w:rsidRDefault="003D07B1" w:rsidP="00DB30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681ED3">
            <w:rPr>
              <w:rFonts w:ascii="Arial" w:hAnsi="Arial" w:cs="Arial"/>
              <w:sz w:val="16"/>
              <w:szCs w:val="16"/>
            </w:rPr>
            <w:t>Dott.s</w:t>
          </w:r>
          <w:r>
            <w:rPr>
              <w:rFonts w:ascii="Arial" w:hAnsi="Arial" w:cs="Arial"/>
              <w:sz w:val="16"/>
              <w:szCs w:val="16"/>
            </w:rPr>
            <w:t xml:space="preserve">sa Alessandra </w:t>
          </w:r>
          <w:r w:rsidRPr="00681ED3">
            <w:rPr>
              <w:rFonts w:ascii="Arial" w:hAnsi="Arial" w:cs="Arial"/>
              <w:sz w:val="16"/>
              <w:szCs w:val="16"/>
            </w:rPr>
            <w:t>Sperti</w:t>
          </w:r>
        </w:p>
        <w:p w:rsidR="003D07B1" w:rsidRDefault="003D07B1" w:rsidP="00DB3077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C95A45">
            <w:rPr>
              <w:rFonts w:ascii="Arial" w:hAnsi="Arial" w:cs="Arial"/>
              <w:sz w:val="16"/>
              <w:szCs w:val="16"/>
              <w:lang w:val="en-US"/>
            </w:rPr>
            <w:t>t</w:t>
          </w:r>
          <w:r w:rsidRPr="007B4F39">
            <w:rPr>
              <w:rFonts w:ascii="Arial" w:hAnsi="Arial" w:cs="Arial"/>
              <w:sz w:val="16"/>
              <w:szCs w:val="16"/>
              <w:lang w:val="en-GB"/>
            </w:rPr>
            <w:t xml:space="preserve">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7942</w:t>
          </w:r>
          <w:r w:rsidRPr="007B4F39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</w:p>
        <w:p w:rsidR="003D07B1" w:rsidRPr="007B4F39" w:rsidRDefault="003D07B1" w:rsidP="00DB3077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Fax +39 040 3739</w:t>
          </w:r>
        </w:p>
        <w:p w:rsidR="003D07B1" w:rsidRPr="007B4F39" w:rsidRDefault="003D07B1" w:rsidP="00DB3077">
          <w:pPr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sz w:val="16"/>
              <w:szCs w:val="16"/>
              <w:lang w:val="en-GB"/>
            </w:rPr>
            <w:t>Fondazioni.premi</w:t>
          </w:r>
          <w:r w:rsidRPr="007B4F39">
            <w:rPr>
              <w:rFonts w:ascii="Arial" w:hAnsi="Arial" w:cs="Arial"/>
              <w:i/>
              <w:sz w:val="16"/>
              <w:szCs w:val="16"/>
              <w:lang w:val="en-GB"/>
            </w:rPr>
            <w:t>@amm.units.it</w:t>
          </w:r>
        </w:p>
      </w:tc>
    </w:tr>
  </w:tbl>
  <w:p w:rsidR="003D07B1" w:rsidRPr="007B4F39" w:rsidRDefault="003D07B1" w:rsidP="00DB3077">
    <w:pPr>
      <w:tabs>
        <w:tab w:val="center" w:pos="4252"/>
        <w:tab w:val="left" w:pos="5304"/>
      </w:tabs>
      <w:spacing w:line="220" w:lineRule="exact"/>
      <w:rPr>
        <w:rFonts w:ascii="Arial" w:hAnsi="Arial" w:cs="Arial"/>
        <w:b/>
        <w:sz w:val="16"/>
        <w:szCs w:val="16"/>
        <w:lang w:val="en-GB"/>
      </w:rPr>
    </w:pPr>
    <w:r w:rsidRPr="007B4F39">
      <w:rPr>
        <w:rFonts w:ascii="Arial" w:hAnsi="Arial" w:cs="Arial"/>
        <w:b/>
        <w:sz w:val="16"/>
        <w:szCs w:val="16"/>
        <w:lang w:val="en-GB"/>
      </w:rPr>
      <w:tab/>
      <w:t>www.units.it</w:t>
    </w:r>
    <w:r>
      <w:rPr>
        <w:rFonts w:ascii="Arial" w:hAnsi="Arial" w:cs="Arial"/>
        <w:b/>
        <w:sz w:val="16"/>
        <w:szCs w:val="16"/>
        <w:lang w:val="en-GB"/>
      </w:rPr>
      <w:t xml:space="preserve">   –   ateneo@pec.units.it</w:t>
    </w:r>
  </w:p>
  <w:p w:rsidR="003D07B1" w:rsidRPr="00BA3E0B" w:rsidRDefault="003D07B1" w:rsidP="00DB3077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61" w:rsidRDefault="00EC0361">
      <w:r>
        <w:separator/>
      </w:r>
    </w:p>
  </w:footnote>
  <w:footnote w:type="continuationSeparator" w:id="0">
    <w:p w:rsidR="00EC0361" w:rsidRDefault="00EC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B1" w:rsidRDefault="003D07B1" w:rsidP="00DB3077">
    <w:pPr>
      <w:pStyle w:val="Intestazione"/>
    </w:pPr>
    <w:r>
      <w:rPr>
        <w:noProof/>
      </w:rPr>
      <w:drawing>
        <wp:inline distT="0" distB="0" distL="0" distR="0" wp14:anchorId="5D674EEA" wp14:editId="5F4B51C7">
          <wp:extent cx="3077845" cy="76454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7B1" w:rsidRDefault="003D07B1" w:rsidP="00DB3077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Area Servizi tecnici e di supporto - Settore Patrimonio e Provveditorato</w:t>
    </w:r>
  </w:p>
  <w:p w:rsidR="003D07B1" w:rsidRPr="003571CB" w:rsidRDefault="003D07B1" w:rsidP="00DB3077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Servizi Outsourcing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C880D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5B5214C"/>
    <w:multiLevelType w:val="hybridMultilevel"/>
    <w:tmpl w:val="8A428AE6"/>
    <w:lvl w:ilvl="0" w:tplc="34306AF6">
      <w:start w:val="1"/>
      <w:numFmt w:val="lowerLetter"/>
      <w:lvlText w:val="%1)"/>
      <w:lvlJc w:val="right"/>
      <w:pPr>
        <w:ind w:left="502" w:hanging="360"/>
      </w:pPr>
      <w:rPr>
        <w:rFonts w:ascii="Tahoma" w:hAnsi="Tahoma" w:cs="Tahom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9F483D"/>
    <w:multiLevelType w:val="hybridMultilevel"/>
    <w:tmpl w:val="BBE4A87E"/>
    <w:lvl w:ilvl="0" w:tplc="181651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E89"/>
    <w:multiLevelType w:val="hybridMultilevel"/>
    <w:tmpl w:val="A7DC1B46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6420"/>
    <w:multiLevelType w:val="hybridMultilevel"/>
    <w:tmpl w:val="C3064458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B0975"/>
    <w:multiLevelType w:val="hybridMultilevel"/>
    <w:tmpl w:val="148C85CE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4F71"/>
    <w:multiLevelType w:val="hybridMultilevel"/>
    <w:tmpl w:val="DA380F42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2D3A"/>
    <w:multiLevelType w:val="hybridMultilevel"/>
    <w:tmpl w:val="9AF8B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911"/>
    <w:multiLevelType w:val="hybridMultilevel"/>
    <w:tmpl w:val="8C842C66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1EB8"/>
    <w:multiLevelType w:val="hybridMultilevel"/>
    <w:tmpl w:val="6210615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3D7ADD"/>
    <w:multiLevelType w:val="hybridMultilevel"/>
    <w:tmpl w:val="6AB05DA4"/>
    <w:lvl w:ilvl="0" w:tplc="6082ED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577CC"/>
    <w:multiLevelType w:val="hybridMultilevel"/>
    <w:tmpl w:val="44AE3E8C"/>
    <w:lvl w:ilvl="0" w:tplc="4BB83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25151C"/>
    <w:multiLevelType w:val="hybridMultilevel"/>
    <w:tmpl w:val="107CB882"/>
    <w:lvl w:ilvl="0" w:tplc="D68A25D4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864C6"/>
    <w:multiLevelType w:val="hybridMultilevel"/>
    <w:tmpl w:val="99C22398"/>
    <w:lvl w:ilvl="0" w:tplc="D68A25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DA"/>
    <w:rsid w:val="000053C3"/>
    <w:rsid w:val="0002095F"/>
    <w:rsid w:val="000467C3"/>
    <w:rsid w:val="000530AF"/>
    <w:rsid w:val="00084F2F"/>
    <w:rsid w:val="000A2A90"/>
    <w:rsid w:val="000B5AEA"/>
    <w:rsid w:val="000C34FF"/>
    <w:rsid w:val="000D49E7"/>
    <w:rsid w:val="00106999"/>
    <w:rsid w:val="00124CD5"/>
    <w:rsid w:val="001355A1"/>
    <w:rsid w:val="001742BF"/>
    <w:rsid w:val="00184F93"/>
    <w:rsid w:val="001A7AE1"/>
    <w:rsid w:val="001C4ACC"/>
    <w:rsid w:val="001D1B0A"/>
    <w:rsid w:val="001E7FB0"/>
    <w:rsid w:val="0020657B"/>
    <w:rsid w:val="00206A15"/>
    <w:rsid w:val="0022231F"/>
    <w:rsid w:val="00223643"/>
    <w:rsid w:val="00235F71"/>
    <w:rsid w:val="00245A24"/>
    <w:rsid w:val="00251E17"/>
    <w:rsid w:val="00292C08"/>
    <w:rsid w:val="00294503"/>
    <w:rsid w:val="002A07F1"/>
    <w:rsid w:val="002C6C12"/>
    <w:rsid w:val="002D4580"/>
    <w:rsid w:val="002E3C3C"/>
    <w:rsid w:val="002F074F"/>
    <w:rsid w:val="003214AC"/>
    <w:rsid w:val="00323D79"/>
    <w:rsid w:val="003244CC"/>
    <w:rsid w:val="003543DE"/>
    <w:rsid w:val="00363F41"/>
    <w:rsid w:val="003B65FD"/>
    <w:rsid w:val="003B7D87"/>
    <w:rsid w:val="003C037A"/>
    <w:rsid w:val="003C0952"/>
    <w:rsid w:val="003C5319"/>
    <w:rsid w:val="003D0617"/>
    <w:rsid w:val="003D07B1"/>
    <w:rsid w:val="003E13DD"/>
    <w:rsid w:val="003E40F9"/>
    <w:rsid w:val="00401A73"/>
    <w:rsid w:val="0042354C"/>
    <w:rsid w:val="00424169"/>
    <w:rsid w:val="00424903"/>
    <w:rsid w:val="00442AF8"/>
    <w:rsid w:val="00445E42"/>
    <w:rsid w:val="00470193"/>
    <w:rsid w:val="004B277A"/>
    <w:rsid w:val="004B5FA6"/>
    <w:rsid w:val="004D04AB"/>
    <w:rsid w:val="004D53A5"/>
    <w:rsid w:val="00527EFF"/>
    <w:rsid w:val="00530042"/>
    <w:rsid w:val="00555712"/>
    <w:rsid w:val="005646BF"/>
    <w:rsid w:val="005705FE"/>
    <w:rsid w:val="00571D8A"/>
    <w:rsid w:val="00591945"/>
    <w:rsid w:val="005A0D04"/>
    <w:rsid w:val="005D1E5D"/>
    <w:rsid w:val="005D2C30"/>
    <w:rsid w:val="005F11C4"/>
    <w:rsid w:val="0061132A"/>
    <w:rsid w:val="00613C4C"/>
    <w:rsid w:val="0063068D"/>
    <w:rsid w:val="006313A0"/>
    <w:rsid w:val="00642311"/>
    <w:rsid w:val="006469CF"/>
    <w:rsid w:val="0065466E"/>
    <w:rsid w:val="00690860"/>
    <w:rsid w:val="006A738E"/>
    <w:rsid w:val="006B4BC6"/>
    <w:rsid w:val="006B597E"/>
    <w:rsid w:val="006D33B1"/>
    <w:rsid w:val="00710566"/>
    <w:rsid w:val="007108DC"/>
    <w:rsid w:val="007310A4"/>
    <w:rsid w:val="00736540"/>
    <w:rsid w:val="00747A91"/>
    <w:rsid w:val="00770A6C"/>
    <w:rsid w:val="0077117E"/>
    <w:rsid w:val="007B17BD"/>
    <w:rsid w:val="007F4C2E"/>
    <w:rsid w:val="00801909"/>
    <w:rsid w:val="00815FFB"/>
    <w:rsid w:val="008225AA"/>
    <w:rsid w:val="008B006F"/>
    <w:rsid w:val="008C2FDA"/>
    <w:rsid w:val="00912399"/>
    <w:rsid w:val="00912ECD"/>
    <w:rsid w:val="00913AB9"/>
    <w:rsid w:val="009633F3"/>
    <w:rsid w:val="009A75E8"/>
    <w:rsid w:val="009B1FA9"/>
    <w:rsid w:val="009B3BF1"/>
    <w:rsid w:val="009E2603"/>
    <w:rsid w:val="009E2A01"/>
    <w:rsid w:val="009F2EC2"/>
    <w:rsid w:val="00A0490B"/>
    <w:rsid w:val="00A30008"/>
    <w:rsid w:val="00A317C2"/>
    <w:rsid w:val="00A31C96"/>
    <w:rsid w:val="00A8555E"/>
    <w:rsid w:val="00A86FB4"/>
    <w:rsid w:val="00A92387"/>
    <w:rsid w:val="00AD40F5"/>
    <w:rsid w:val="00AD7BB4"/>
    <w:rsid w:val="00B0357C"/>
    <w:rsid w:val="00B25964"/>
    <w:rsid w:val="00B442A1"/>
    <w:rsid w:val="00B60864"/>
    <w:rsid w:val="00B81451"/>
    <w:rsid w:val="00B902E5"/>
    <w:rsid w:val="00BD2B1D"/>
    <w:rsid w:val="00C06E91"/>
    <w:rsid w:val="00C4397A"/>
    <w:rsid w:val="00C666FC"/>
    <w:rsid w:val="00C66C1C"/>
    <w:rsid w:val="00C77DF5"/>
    <w:rsid w:val="00C77F84"/>
    <w:rsid w:val="00C83433"/>
    <w:rsid w:val="00CA2182"/>
    <w:rsid w:val="00CB3570"/>
    <w:rsid w:val="00CF1857"/>
    <w:rsid w:val="00D47A05"/>
    <w:rsid w:val="00D57733"/>
    <w:rsid w:val="00D57AE9"/>
    <w:rsid w:val="00DA6642"/>
    <w:rsid w:val="00DB01AA"/>
    <w:rsid w:val="00DB3077"/>
    <w:rsid w:val="00DC7DAE"/>
    <w:rsid w:val="00DD7EE5"/>
    <w:rsid w:val="00DF0A00"/>
    <w:rsid w:val="00DF115B"/>
    <w:rsid w:val="00E11A9A"/>
    <w:rsid w:val="00E60E79"/>
    <w:rsid w:val="00E62E9D"/>
    <w:rsid w:val="00EA249B"/>
    <w:rsid w:val="00EB6C4C"/>
    <w:rsid w:val="00EC0361"/>
    <w:rsid w:val="00EC7D4D"/>
    <w:rsid w:val="00ED0B3E"/>
    <w:rsid w:val="00ED1DF8"/>
    <w:rsid w:val="00ED6057"/>
    <w:rsid w:val="00EE033C"/>
    <w:rsid w:val="00F661FF"/>
    <w:rsid w:val="00F7519E"/>
    <w:rsid w:val="00F955F8"/>
    <w:rsid w:val="00FB03FB"/>
    <w:rsid w:val="00FB6E2C"/>
    <w:rsid w:val="00FB7684"/>
    <w:rsid w:val="00FD30E4"/>
    <w:rsid w:val="00FD4F4C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B97F4-F0AF-4905-8EC5-3395B0D3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FDA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2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2FDA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C2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FDA"/>
    <w:rPr>
      <w:rFonts w:ascii="Courier" w:eastAsia="Times New Roman" w:hAnsi="Courier" w:cs="Times New Roman"/>
      <w:sz w:val="24"/>
      <w:szCs w:val="20"/>
      <w:lang w:eastAsia="it-IT"/>
    </w:rPr>
  </w:style>
  <w:style w:type="character" w:styleId="Collegamentoipertestuale">
    <w:name w:val="Hyperlink"/>
    <w:rsid w:val="008C2F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C2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A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8C2FDA"/>
    <w:rPr>
      <w:b/>
      <w:bCs/>
      <w:sz w:val="20"/>
    </w:rPr>
  </w:style>
  <w:style w:type="character" w:styleId="Rimandocommento">
    <w:name w:val="annotation reference"/>
    <w:semiHidden/>
    <w:rsid w:val="008C2FD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C2FD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C2FD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C2F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C2FD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C2FDA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C2FDA"/>
  </w:style>
  <w:style w:type="paragraph" w:styleId="Paragrafoelenco">
    <w:name w:val="List Paragraph"/>
    <w:basedOn w:val="Normale"/>
    <w:uiPriority w:val="34"/>
    <w:qFormat/>
    <w:rsid w:val="008C2FDA"/>
    <w:pPr>
      <w:ind w:left="720"/>
      <w:contextualSpacing/>
    </w:pPr>
  </w:style>
  <w:style w:type="character" w:customStyle="1" w:styleId="CorpodeltestoCarattere">
    <w:name w:val="Corpo del testo Carattere"/>
    <w:rsid w:val="008C2FDA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8C2FDA"/>
    <w:pPr>
      <w:spacing w:before="240" w:line="300" w:lineRule="exact"/>
      <w:ind w:firstLine="1418"/>
      <w:jc w:val="both"/>
    </w:pPr>
    <w:rPr>
      <w:rFonts w:ascii="Palatino" w:hAnsi="Palatino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2FDA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8C2FDA"/>
    <w:rPr>
      <w:vertAlign w:val="superscript"/>
    </w:rPr>
  </w:style>
  <w:style w:type="paragraph" w:customStyle="1" w:styleId="sche3">
    <w:name w:val="sche_3"/>
    <w:rsid w:val="008C2F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C2FDA"/>
    <w:pPr>
      <w:spacing w:before="240" w:after="120" w:line="300" w:lineRule="exact"/>
      <w:ind w:left="283" w:firstLine="1418"/>
      <w:jc w:val="both"/>
    </w:pPr>
    <w:rPr>
      <w:rFonts w:ascii="Palatino" w:hAnsi="Palatin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C2FDA"/>
    <w:rPr>
      <w:rFonts w:ascii="Palatino" w:eastAsia="Times New Roman" w:hAnsi="Palatino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C2F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C2FDA"/>
    <w:rPr>
      <w:rFonts w:ascii="Courier" w:eastAsia="Times New Roman" w:hAnsi="Courier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8B006F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8B006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93B6-269D-4D77-B474-3409E807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dc:description/>
  <cp:lastModifiedBy>MACCHIAVELLI STEFANO</cp:lastModifiedBy>
  <cp:revision>2</cp:revision>
  <dcterms:created xsi:type="dcterms:W3CDTF">2016-05-05T06:10:00Z</dcterms:created>
  <dcterms:modified xsi:type="dcterms:W3CDTF">2016-05-05T06:10:00Z</dcterms:modified>
</cp:coreProperties>
</file>